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C581" w14:textId="77777777" w:rsidR="00B81B04" w:rsidRPr="00724791" w:rsidRDefault="00B81B04" w:rsidP="00B81B04">
      <w:pPr>
        <w:pStyle w:val="Default"/>
        <w:spacing w:line="400" w:lineRule="exact"/>
        <w:jc w:val="center"/>
        <w:rPr>
          <w:rFonts w:ascii="標楷體" w:eastAsia="標楷體" w:hAnsi="標楷體"/>
          <w:b/>
          <w:color w:val="auto"/>
          <w:sz w:val="32"/>
          <w:szCs w:val="32"/>
        </w:rPr>
      </w:pPr>
      <w:r w:rsidRPr="00724791">
        <w:rPr>
          <w:rFonts w:ascii="標楷體" w:eastAsia="標楷體" w:hAnsi="標楷體" w:hint="eastAsia"/>
          <w:b/>
          <w:color w:val="auto"/>
          <w:sz w:val="32"/>
          <w:szCs w:val="32"/>
        </w:rPr>
        <w:t>十二年國教課程綱要國民中小學暨普通型高中議題融入說明課程手冊(4.15生涯規劃教育)</w:t>
      </w:r>
    </w:p>
    <w:p w14:paraId="2AE993DF" w14:textId="77777777"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hint="eastAsia"/>
          <w:b/>
          <w:bCs/>
          <w:kern w:val="0"/>
          <w:sz w:val="28"/>
          <w:szCs w:val="28"/>
        </w:rPr>
        <w:t>1.基本理念</w:t>
      </w:r>
      <w:r w:rsidRPr="00724791">
        <w:rPr>
          <w:rFonts w:ascii="標楷體" w:eastAsia="標楷體" w:hAnsi="標楷體" w:cs="微軟正黑體"/>
          <w:b/>
          <w:bCs/>
          <w:kern w:val="0"/>
          <w:sz w:val="28"/>
          <w:szCs w:val="28"/>
        </w:rPr>
        <w:t xml:space="preserve"> </w:t>
      </w:r>
    </w:p>
    <w:p w14:paraId="5DDA99B7" w14:textId="77777777" w:rsidR="00B81B04" w:rsidRPr="00724791" w:rsidRDefault="00B81B04" w:rsidP="00B81B04">
      <w:pPr>
        <w:snapToGrid w:val="0"/>
        <w:spacing w:line="340" w:lineRule="exact"/>
        <w:ind w:firstLine="480"/>
        <w:jc w:val="both"/>
        <w:rPr>
          <w:rFonts w:ascii="標楷體" w:eastAsia="標楷體" w:hAnsi="標楷體"/>
        </w:rPr>
      </w:pPr>
      <w:r w:rsidRPr="00724791">
        <w:rPr>
          <w:rFonts w:ascii="標楷體" w:eastAsia="標楷體" w:hAnsi="標楷體" w:hint="eastAsia"/>
        </w:rPr>
        <w:t>生涯發展是指個人一生發展過程中，在家庭、學校、社會等不同場域所從事的工作以及所扮演角色的整合。個人生涯發展，除時空連續及全面生活之特性外，也包括個人獨特、主觀，以及對未來視野的擴展等涵意。因此，個人整體生活品質的滿意及快樂，與其生涯發展有密切的相關。</w:t>
      </w:r>
    </w:p>
    <w:p w14:paraId="2647FB2A" w14:textId="77777777" w:rsidR="00B81B04" w:rsidRPr="00724791" w:rsidRDefault="00B81B04" w:rsidP="00B81B04">
      <w:pPr>
        <w:snapToGrid w:val="0"/>
        <w:spacing w:line="340" w:lineRule="exact"/>
        <w:ind w:firstLine="480"/>
        <w:jc w:val="both"/>
        <w:rPr>
          <w:rFonts w:ascii="標楷體" w:eastAsia="標楷體" w:hAnsi="標楷體"/>
        </w:rPr>
      </w:pPr>
      <w:r w:rsidRPr="00724791">
        <w:rPr>
          <w:rFonts w:ascii="標楷體" w:eastAsia="標楷體" w:hAnsi="標楷體" w:hint="eastAsia"/>
        </w:rPr>
        <w:t>在協助個人進行生涯規劃時，應當涵蓋對個人特質及興趣的了解，對工作</w:t>
      </w:r>
      <w:r w:rsidRPr="00724791">
        <w:rPr>
          <w:rFonts w:ascii="標楷體" w:eastAsia="標楷體" w:hAnsi="標楷體"/>
        </w:rPr>
        <w:t>/</w:t>
      </w:r>
      <w:r w:rsidRPr="00724791">
        <w:rPr>
          <w:rFonts w:ascii="標楷體" w:eastAsia="標楷體" w:hAnsi="標楷體" w:hint="eastAsia"/>
        </w:rPr>
        <w:t>教育環境的認識與適應，以及對發展過程中重要事件的決定、計畫和行動，並培養學生具備洞察未來與應變的能力。</w:t>
      </w:r>
    </w:p>
    <w:p w14:paraId="327B5380" w14:textId="77777777"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b/>
          <w:bCs/>
          <w:kern w:val="0"/>
          <w:sz w:val="28"/>
          <w:szCs w:val="28"/>
        </w:rPr>
        <w:t>2</w:t>
      </w:r>
      <w:r w:rsidRPr="00724791">
        <w:rPr>
          <w:rFonts w:ascii="標楷體" w:eastAsia="標楷體" w:hAnsi="標楷體" w:cs="微軟正黑體" w:hint="eastAsia"/>
          <w:b/>
          <w:bCs/>
          <w:kern w:val="0"/>
          <w:sz w:val="28"/>
          <w:szCs w:val="28"/>
        </w:rPr>
        <w:t>.學習目標</w:t>
      </w:r>
      <w:r w:rsidRPr="00724791">
        <w:rPr>
          <w:rFonts w:ascii="標楷體" w:eastAsia="標楷體" w:hAnsi="標楷體" w:cs="微軟正黑體"/>
          <w:b/>
          <w:bCs/>
          <w:kern w:val="0"/>
          <w:sz w:val="28"/>
          <w:szCs w:val="28"/>
        </w:rPr>
        <w:t xml:space="preserve"> </w:t>
      </w:r>
    </w:p>
    <w:p w14:paraId="403F15CA" w14:textId="77777777"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rPr>
        <w:t></w:t>
      </w:r>
      <w:r w:rsidRPr="00724791">
        <w:rPr>
          <w:rFonts w:ascii="標楷體" w:eastAsia="標楷體" w:hAnsi="標楷體" w:hint="eastAsia"/>
        </w:rPr>
        <w:t xml:space="preserve"> ◆了解個人特質、興趣與工作環境。</w:t>
      </w:r>
    </w:p>
    <w:p w14:paraId="4F33BA60" w14:textId="77777777"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hint="eastAsia"/>
        </w:rPr>
        <w:t xml:space="preserve">   ◆養成生涯規劃知能。</w:t>
      </w:r>
    </w:p>
    <w:p w14:paraId="0E81E678" w14:textId="77777777" w:rsidR="00B81B04" w:rsidRPr="00724791" w:rsidRDefault="00B81B04" w:rsidP="00B81B04">
      <w:pPr>
        <w:suppressAutoHyphens w:val="0"/>
        <w:autoSpaceDE w:val="0"/>
        <w:autoSpaceDN w:val="0"/>
        <w:adjustRightInd w:val="0"/>
        <w:rPr>
          <w:rFonts w:ascii="標楷體" w:eastAsia="標楷體" w:hAnsi="標楷體"/>
        </w:rPr>
      </w:pPr>
      <w:r w:rsidRPr="00724791">
        <w:rPr>
          <w:rFonts w:ascii="標楷體" w:eastAsia="標楷體" w:hAnsi="標楷體" w:hint="eastAsia"/>
        </w:rPr>
        <w:t xml:space="preserve">   ◆發展洞察趨勢的敏感度與應變的行動力。</w:t>
      </w:r>
    </w:p>
    <w:p w14:paraId="28734B28" w14:textId="77777777" w:rsidR="00B81B04" w:rsidRPr="00724791" w:rsidRDefault="00B81B04" w:rsidP="00B81B04">
      <w:pPr>
        <w:suppressAutoHyphens w:val="0"/>
        <w:autoSpaceDE w:val="0"/>
        <w:autoSpaceDN w:val="0"/>
        <w:adjustRightInd w:val="0"/>
        <w:rPr>
          <w:rFonts w:ascii="標楷體" w:eastAsia="標楷體" w:hAnsi="標楷體" w:cs="微軟正黑體"/>
          <w:kern w:val="0"/>
          <w:sz w:val="28"/>
          <w:szCs w:val="28"/>
        </w:rPr>
      </w:pPr>
      <w:r w:rsidRPr="00724791">
        <w:rPr>
          <w:rFonts w:ascii="標楷體" w:eastAsia="標楷體" w:hAnsi="標楷體" w:cs="微軟正黑體" w:hint="eastAsia"/>
          <w:b/>
          <w:bCs/>
          <w:kern w:val="0"/>
          <w:sz w:val="28"/>
          <w:szCs w:val="28"/>
        </w:rPr>
        <w:t xml:space="preserve">3.學習主題與實質內涵 </w:t>
      </w:r>
    </w:p>
    <w:p w14:paraId="6A1714E5" w14:textId="77777777" w:rsidR="00B81B04" w:rsidRPr="00724791" w:rsidRDefault="00B81B04" w:rsidP="00B81B04">
      <w:pPr>
        <w:suppressAutoHyphens w:val="0"/>
        <w:autoSpaceDE w:val="0"/>
        <w:autoSpaceDN w:val="0"/>
        <w:adjustRightInd w:val="0"/>
        <w:rPr>
          <w:rFonts w:ascii="標楷體" w:eastAsia="標楷體" w:hAnsi="標楷體" w:cs="微軟正黑體"/>
          <w:kern w:val="0"/>
          <w:sz w:val="23"/>
          <w:szCs w:val="23"/>
        </w:rPr>
      </w:pPr>
      <w:r w:rsidRPr="00724791">
        <w:rPr>
          <w:rFonts w:ascii="標楷體" w:eastAsia="標楷體" w:hAnsi="標楷體" w:cs="Wingdings 2"/>
          <w:kern w:val="0"/>
          <w:sz w:val="23"/>
          <w:szCs w:val="23"/>
        </w:rPr>
        <w:t></w:t>
      </w:r>
      <w:r w:rsidRPr="00724791">
        <w:rPr>
          <w:rFonts w:ascii="標楷體" w:eastAsia="標楷體" w:hAnsi="標楷體" w:cs="Wingdings 2" w:hint="eastAsia"/>
          <w:kern w:val="0"/>
          <w:sz w:val="23"/>
          <w:szCs w:val="23"/>
        </w:rPr>
        <w:t xml:space="preserve"> ◆</w:t>
      </w:r>
      <w:r w:rsidRPr="00724791">
        <w:rPr>
          <w:rFonts w:ascii="標楷體" w:eastAsia="標楷體" w:hAnsi="標楷體" w:cs="微軟正黑體" w:hint="eastAsia"/>
          <w:b/>
          <w:bCs/>
          <w:kern w:val="0"/>
          <w:sz w:val="23"/>
          <w:szCs w:val="23"/>
        </w:rPr>
        <w:t>整體說明</w:t>
      </w:r>
    </w:p>
    <w:p w14:paraId="12898D74" w14:textId="77777777" w:rsidR="00B81B04" w:rsidRPr="00724791" w:rsidRDefault="00B81B04" w:rsidP="00B81B04">
      <w:pPr>
        <w:suppressAutoHyphens w:val="0"/>
        <w:autoSpaceDE w:val="0"/>
        <w:autoSpaceDN w:val="0"/>
        <w:adjustRightInd w:val="0"/>
        <w:ind w:leftChars="236" w:left="849" w:hangingChars="118" w:hanging="283"/>
        <w:rPr>
          <w:rFonts w:ascii="標楷體" w:eastAsia="標楷體" w:hAnsi="標楷體"/>
        </w:rPr>
      </w:pPr>
      <w:r w:rsidRPr="00724791">
        <w:rPr>
          <w:rFonts w:ascii="標楷體" w:eastAsia="標楷體" w:hAnsi="標楷體" w:hint="eastAsia"/>
        </w:rPr>
        <w:t xml:space="preserve">• </w:t>
      </w:r>
      <w:r w:rsidRPr="00724791">
        <w:rPr>
          <w:rFonts w:ascii="標楷體" w:eastAsia="標楷體" w:hAnsi="標楷體" w:hint="eastAsia"/>
          <w:b/>
        </w:rPr>
        <w:t>生涯規劃之基本概念與重要性</w:t>
      </w:r>
      <w:r w:rsidRPr="00724791">
        <w:rPr>
          <w:rFonts w:ascii="標楷體" w:eastAsia="標楷體" w:hAnsi="標楷體" w:hint="eastAsia"/>
        </w:rPr>
        <w:t>：生涯規劃的內容主要包括認識自我、認識工作/教育環境，以及生涯決定與適應技巧。但不同階段學生的特性與需求並不相同，國小階段的生涯發展著重自我概念的發展以及覺察能力的培養；國中階段的生涯發展除了自我特質及價值觀的探索外，也增加決策能力的培養。高中（職）教育階段，決定技巧是其應具備的能力，而工作與職業興趣的探索及能力的培養更是畢業前應完成的發展任務。</w:t>
      </w:r>
    </w:p>
    <w:p w14:paraId="42046312" w14:textId="77777777" w:rsidR="00B81B04" w:rsidRPr="00724791" w:rsidRDefault="00B81B04" w:rsidP="00B81B04">
      <w:pPr>
        <w:suppressAutoHyphens w:val="0"/>
        <w:autoSpaceDE w:val="0"/>
        <w:autoSpaceDN w:val="0"/>
        <w:adjustRightInd w:val="0"/>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w:t>
      </w:r>
      <w:r w:rsidRPr="00724791">
        <w:rPr>
          <w:rFonts w:ascii="標楷體" w:eastAsia="標楷體" w:hAnsi="標楷體" w:cs="微軟正黑體" w:hint="eastAsia"/>
          <w:kern w:val="0"/>
        </w:rPr>
        <w:t xml:space="preserve"> </w:t>
      </w:r>
      <w:r w:rsidRPr="00724791">
        <w:rPr>
          <w:rFonts w:ascii="標楷體" w:eastAsia="標楷體" w:hAnsi="標楷體" w:cs="微軟正黑體" w:hint="eastAsia"/>
          <w:b/>
          <w:bCs/>
          <w:kern w:val="0"/>
        </w:rPr>
        <w:t>自我探索與生涯規劃的關係</w:t>
      </w:r>
      <w:r w:rsidRPr="00724791">
        <w:rPr>
          <w:rFonts w:ascii="標楷體" w:eastAsia="標楷體" w:hAnsi="標楷體" w:cs="微軟正黑體" w:hint="eastAsia"/>
          <w:kern w:val="0"/>
        </w:rPr>
        <w:t>：</w:t>
      </w:r>
      <w:r w:rsidRPr="00724791">
        <w:rPr>
          <w:rFonts w:ascii="標楷體" w:eastAsia="標楷體" w:hAnsi="標楷體" w:hint="eastAsia"/>
        </w:rPr>
        <w:t>生涯規劃與自我探索重視個人特質、興趣、能力、價值觀，及道德意識之覺察與認識，藉由實際的觀察和具體的操作練習，進一步在生活中探索其生活角色，以及該角色與教育與工作環境之關係。同時培養其職業道德及倫理概念。</w:t>
      </w:r>
    </w:p>
    <w:p w14:paraId="3D5991C4" w14:textId="77777777" w:rsidR="00B81B04" w:rsidRPr="00724791" w:rsidRDefault="00B81B04" w:rsidP="00B81B04">
      <w:pPr>
        <w:suppressAutoHyphens w:val="0"/>
        <w:autoSpaceDE w:val="0"/>
        <w:autoSpaceDN w:val="0"/>
        <w:adjustRightInd w:val="0"/>
        <w:ind w:leftChars="236" w:left="837" w:hangingChars="118" w:hanging="271"/>
        <w:rPr>
          <w:rFonts w:ascii="標楷體" w:eastAsia="標楷體" w:hAnsi="標楷體"/>
        </w:rPr>
      </w:pPr>
      <w:r w:rsidRPr="00724791">
        <w:rPr>
          <w:rFonts w:ascii="標楷體" w:eastAsia="標楷體" w:hAnsi="標楷體" w:cs="微軟正黑體" w:hint="eastAsia"/>
          <w:kern w:val="0"/>
          <w:sz w:val="23"/>
          <w:szCs w:val="23"/>
        </w:rPr>
        <w:t xml:space="preserve">• </w:t>
      </w:r>
      <w:r w:rsidRPr="00724791">
        <w:rPr>
          <w:rFonts w:ascii="標楷體" w:eastAsia="標楷體" w:hAnsi="標楷體" w:cs="微軟正黑體" w:hint="eastAsia"/>
          <w:b/>
          <w:bCs/>
          <w:kern w:val="0"/>
          <w:sz w:val="23"/>
          <w:szCs w:val="23"/>
        </w:rPr>
        <w:t>工作/教育環境探索與生涯規劃的關係</w:t>
      </w:r>
      <w:r w:rsidRPr="00724791">
        <w:rPr>
          <w:rFonts w:ascii="標楷體" w:eastAsia="標楷體" w:hAnsi="標楷體" w:cs="微軟正黑體" w:hint="eastAsia"/>
          <w:kern w:val="0"/>
          <w:sz w:val="23"/>
          <w:szCs w:val="23"/>
        </w:rPr>
        <w:t>：</w:t>
      </w:r>
      <w:r w:rsidRPr="00724791">
        <w:rPr>
          <w:rFonts w:ascii="標楷體" w:eastAsia="標楷體" w:hAnsi="標楷體" w:hint="eastAsia"/>
        </w:rPr>
        <w:t>生涯規劃教育強調個人對於教育及工作環境的認識與分析能力，以適應全球化環境下之社會變遷。生涯規劃教育應教導學生蒐集與分析</w:t>
      </w:r>
      <w:r w:rsidRPr="00724791">
        <w:rPr>
          <w:rFonts w:ascii="標楷體" w:eastAsia="標楷體" w:hAnsi="標楷體"/>
        </w:rPr>
        <w:t>工作/教育環境的方法，認識教育學習內涵與生涯進路的關係，並了解社會、經濟及科技</w:t>
      </w:r>
      <w:r w:rsidRPr="00724791">
        <w:rPr>
          <w:rFonts w:ascii="標楷體" w:eastAsia="標楷體" w:hAnsi="標楷體" w:hint="eastAsia"/>
        </w:rPr>
        <w:t>的變化對人才供需市場及職業工作內容的影響，以作為升學及就業選擇的依據。</w:t>
      </w:r>
    </w:p>
    <w:p w14:paraId="3039D915" w14:textId="77777777" w:rsidR="00B81B04" w:rsidRDefault="00B81B04" w:rsidP="00B81B04">
      <w:pPr>
        <w:suppressAutoHyphens w:val="0"/>
        <w:autoSpaceDE w:val="0"/>
        <w:autoSpaceDN w:val="0"/>
        <w:adjustRightInd w:val="0"/>
        <w:spacing w:after="262"/>
        <w:ind w:leftChars="236" w:left="837" w:hangingChars="118" w:hanging="271"/>
        <w:rPr>
          <w:rFonts w:ascii="標楷體" w:eastAsia="標楷體" w:hAnsi="標楷體"/>
        </w:rPr>
      </w:pPr>
      <w:proofErr w:type="gramStart"/>
      <w:r w:rsidRPr="00724791">
        <w:rPr>
          <w:rFonts w:ascii="標楷體" w:eastAsia="標楷體" w:hAnsi="標楷體" w:cs="微軟正黑體" w:hint="eastAsia"/>
          <w:kern w:val="0"/>
          <w:sz w:val="23"/>
          <w:szCs w:val="23"/>
        </w:rPr>
        <w:t>•</w:t>
      </w:r>
      <w:proofErr w:type="gramEnd"/>
      <w:r w:rsidRPr="00724791">
        <w:rPr>
          <w:rFonts w:ascii="標楷體" w:eastAsia="標楷體" w:hAnsi="標楷體" w:cs="微軟正黑體"/>
          <w:kern w:val="0"/>
          <w:sz w:val="23"/>
          <w:szCs w:val="23"/>
        </w:rPr>
        <w:t xml:space="preserve"> </w:t>
      </w:r>
      <w:r w:rsidRPr="00724791">
        <w:rPr>
          <w:rFonts w:ascii="標楷體" w:eastAsia="標楷體" w:hAnsi="標楷體" w:cs="微軟正黑體"/>
          <w:b/>
          <w:bCs/>
          <w:kern w:val="0"/>
          <w:sz w:val="23"/>
          <w:szCs w:val="23"/>
        </w:rPr>
        <w:t>生涯決定分析與生涯行動計畫</w:t>
      </w:r>
      <w:r w:rsidRPr="00724791">
        <w:rPr>
          <w:rFonts w:ascii="標楷體" w:eastAsia="標楷體" w:hAnsi="標楷體" w:cs="微軟正黑體" w:hint="eastAsia"/>
          <w:kern w:val="0"/>
          <w:sz w:val="23"/>
          <w:szCs w:val="23"/>
        </w:rPr>
        <w:t>：</w:t>
      </w:r>
      <w:r w:rsidRPr="00724791">
        <w:rPr>
          <w:rFonts w:ascii="標楷體" w:eastAsia="標楷體" w:hAnsi="標楷體" w:hint="eastAsia"/>
        </w:rPr>
        <w:t>生涯規劃教育強調對自我與工作</w:t>
      </w:r>
      <w:r w:rsidRPr="00724791">
        <w:rPr>
          <w:rFonts w:ascii="標楷體" w:eastAsia="標楷體" w:hAnsi="標楷體"/>
        </w:rPr>
        <w:t>/</w:t>
      </w:r>
      <w:r w:rsidRPr="00724791">
        <w:rPr>
          <w:rFonts w:ascii="標楷體" w:eastAsia="標楷體" w:hAnsi="標楷體" w:hint="eastAsia"/>
        </w:rPr>
        <w:t>教育環境的探索後，能夠更進一步學習生涯評估與抉擇的方法，發展彈性因應的能力，並且能夠確認不同發展階段的生涯目標，擬訂適當的行動計畫與方案，在實踐過程中不斷反思與修正。</w:t>
      </w:r>
    </w:p>
    <w:p w14:paraId="3649BC0B" w14:textId="77777777" w:rsidR="00AB56D2" w:rsidRPr="00724791" w:rsidRDefault="00AB56D2" w:rsidP="00AB56D2">
      <w:pPr>
        <w:suppressAutoHyphens w:val="0"/>
        <w:autoSpaceDE w:val="0"/>
        <w:autoSpaceDN w:val="0"/>
        <w:adjustRightInd w:val="0"/>
        <w:spacing w:after="262"/>
        <w:rPr>
          <w:rFonts w:ascii="標楷體" w:eastAsia="標楷體" w:hAnsi="標楷體"/>
        </w:rPr>
      </w:pPr>
    </w:p>
    <w:p w14:paraId="45BFBB6D" w14:textId="77777777" w:rsidR="00B81B04" w:rsidRPr="00724791" w:rsidRDefault="00B81B04" w:rsidP="00724791">
      <w:pPr>
        <w:suppressAutoHyphens w:val="0"/>
        <w:autoSpaceDE w:val="0"/>
        <w:autoSpaceDN w:val="0"/>
        <w:adjustRightInd w:val="0"/>
        <w:rPr>
          <w:rFonts w:ascii="標楷體" w:eastAsia="標楷體" w:hAnsi="標楷體"/>
        </w:rPr>
      </w:pPr>
      <w:r w:rsidRPr="00724791">
        <w:rPr>
          <w:rFonts w:ascii="標楷體" w:eastAsia="標楷體" w:hAnsi="標楷體" w:cs="Wingdings 2"/>
          <w:kern w:val="0"/>
          <w:sz w:val="23"/>
          <w:szCs w:val="23"/>
        </w:rPr>
        <w:t></w:t>
      </w:r>
      <w:r w:rsidRPr="00724791">
        <w:rPr>
          <w:rFonts w:ascii="標楷體" w:eastAsia="標楷體" w:hAnsi="標楷體"/>
        </w:rPr>
        <w:t>生涯規劃教育議題學習主題與實質內涵</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1"/>
        <w:gridCol w:w="2521"/>
        <w:gridCol w:w="2943"/>
        <w:gridCol w:w="3044"/>
      </w:tblGrid>
      <w:tr w:rsidR="00724791" w:rsidRPr="00AB56D2" w14:paraId="0714949A" w14:textId="77777777" w:rsidTr="00E73C6C">
        <w:trPr>
          <w:trHeight w:val="331"/>
        </w:trPr>
        <w:tc>
          <w:tcPr>
            <w:tcW w:w="707" w:type="pct"/>
            <w:vMerge w:val="restart"/>
          </w:tcPr>
          <w:p w14:paraId="67861EBC"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議題</w:t>
            </w:r>
          </w:p>
          <w:p w14:paraId="1F55FFD8" w14:textId="77777777" w:rsidR="00B81B04" w:rsidRPr="00AB56D2" w:rsidRDefault="00B81B04" w:rsidP="00E73C6C">
            <w:pPr>
              <w:pStyle w:val="Default"/>
              <w:autoSpaceDE w:val="0"/>
              <w:autoSpaceDN w:val="0"/>
              <w:adjustRightInd w:val="0"/>
              <w:jc w:val="center"/>
              <w:rPr>
                <w:rFonts w:ascii="標楷體" w:eastAsia="標楷體" w:hAnsi="標楷體"/>
                <w:color w:val="auto"/>
                <w:sz w:val="23"/>
                <w:szCs w:val="23"/>
              </w:rPr>
            </w:pPr>
            <w:r w:rsidRPr="00AB56D2">
              <w:rPr>
                <w:rFonts w:ascii="標楷體" w:eastAsia="標楷體" w:hAnsi="標楷體"/>
                <w:b/>
                <w:bCs/>
                <w:color w:val="auto"/>
                <w:sz w:val="23"/>
                <w:szCs w:val="23"/>
              </w:rPr>
              <w:t>學習主題</w:t>
            </w:r>
          </w:p>
        </w:tc>
        <w:tc>
          <w:tcPr>
            <w:tcW w:w="4293" w:type="pct"/>
            <w:gridSpan w:val="3"/>
          </w:tcPr>
          <w:p w14:paraId="4144CA60"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議題實質內涵</w:t>
            </w:r>
          </w:p>
        </w:tc>
      </w:tr>
      <w:tr w:rsidR="00724791" w:rsidRPr="00AB56D2" w14:paraId="3978DFED" w14:textId="77777777" w:rsidTr="00E73C6C">
        <w:trPr>
          <w:trHeight w:val="120"/>
        </w:trPr>
        <w:tc>
          <w:tcPr>
            <w:tcW w:w="707" w:type="pct"/>
            <w:vMerge/>
          </w:tcPr>
          <w:p w14:paraId="3B95959D" w14:textId="77777777" w:rsidR="00B81B04" w:rsidRPr="00AB56D2" w:rsidRDefault="00B81B04" w:rsidP="00E73C6C">
            <w:pPr>
              <w:pStyle w:val="Default"/>
              <w:jc w:val="center"/>
              <w:rPr>
                <w:rFonts w:ascii="標楷體" w:eastAsia="標楷體" w:hAnsi="標楷體"/>
                <w:color w:val="auto"/>
                <w:sz w:val="23"/>
                <w:szCs w:val="23"/>
              </w:rPr>
            </w:pPr>
          </w:p>
        </w:tc>
        <w:tc>
          <w:tcPr>
            <w:tcW w:w="1272" w:type="pct"/>
            <w:tcBorders>
              <w:right w:val="single" w:sz="18" w:space="0" w:color="auto"/>
            </w:tcBorders>
          </w:tcPr>
          <w:p w14:paraId="74996E51"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國民小學</w:t>
            </w:r>
          </w:p>
        </w:tc>
        <w:tc>
          <w:tcPr>
            <w:tcW w:w="1485" w:type="pct"/>
            <w:tcBorders>
              <w:top w:val="single" w:sz="18" w:space="0" w:color="auto"/>
              <w:left w:val="single" w:sz="18" w:space="0" w:color="auto"/>
              <w:bottom w:val="single" w:sz="18" w:space="0" w:color="auto"/>
              <w:right w:val="single" w:sz="18" w:space="0" w:color="auto"/>
            </w:tcBorders>
          </w:tcPr>
          <w:p w14:paraId="3D2A01CD"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國民中學</w:t>
            </w:r>
          </w:p>
        </w:tc>
        <w:tc>
          <w:tcPr>
            <w:tcW w:w="1536" w:type="pct"/>
            <w:tcBorders>
              <w:left w:val="single" w:sz="18" w:space="0" w:color="auto"/>
            </w:tcBorders>
          </w:tcPr>
          <w:p w14:paraId="0F93F05D"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b/>
                <w:bCs/>
                <w:color w:val="auto"/>
                <w:sz w:val="23"/>
                <w:szCs w:val="23"/>
              </w:rPr>
              <w:t>高級中等學校</w:t>
            </w:r>
          </w:p>
        </w:tc>
      </w:tr>
      <w:tr w:rsidR="00724791" w:rsidRPr="00AB56D2" w14:paraId="0EF1C10C" w14:textId="77777777" w:rsidTr="00E73C6C">
        <w:trPr>
          <w:trHeight w:val="1363"/>
        </w:trPr>
        <w:tc>
          <w:tcPr>
            <w:tcW w:w="707" w:type="pct"/>
            <w:vAlign w:val="center"/>
          </w:tcPr>
          <w:p w14:paraId="6D334D27"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生涯規劃教育之基本概念</w:t>
            </w:r>
          </w:p>
        </w:tc>
        <w:tc>
          <w:tcPr>
            <w:tcW w:w="1272" w:type="pct"/>
            <w:tcBorders>
              <w:right w:val="single" w:sz="18" w:space="0" w:color="auto"/>
            </w:tcBorders>
          </w:tcPr>
          <w:p w14:paraId="6423CB00"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E1</w:t>
            </w:r>
            <w:r w:rsidRPr="00AB56D2">
              <w:rPr>
                <w:rFonts w:eastAsia="標楷體"/>
                <w:sz w:val="23"/>
                <w:szCs w:val="23"/>
              </w:rPr>
              <w:t>了解個人的自我概念。</w:t>
            </w:r>
          </w:p>
          <w:p w14:paraId="4C2FA653"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E2</w:t>
            </w:r>
            <w:r w:rsidRPr="00AB56D2">
              <w:rPr>
                <w:rFonts w:eastAsia="標楷體"/>
                <w:sz w:val="23"/>
                <w:szCs w:val="23"/>
              </w:rPr>
              <w:t>認識不同的生活角色。</w:t>
            </w:r>
          </w:p>
          <w:p w14:paraId="5B0CAA7F"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E3</w:t>
            </w:r>
            <w:r w:rsidRPr="00AB56D2">
              <w:rPr>
                <w:rFonts w:eastAsia="標楷體"/>
                <w:sz w:val="23"/>
                <w:szCs w:val="23"/>
              </w:rPr>
              <w:t>認識生涯規劃的意涵。</w:t>
            </w:r>
          </w:p>
        </w:tc>
        <w:tc>
          <w:tcPr>
            <w:tcW w:w="1485" w:type="pct"/>
            <w:tcBorders>
              <w:top w:val="single" w:sz="18" w:space="0" w:color="auto"/>
              <w:left w:val="single" w:sz="18" w:space="0" w:color="auto"/>
              <w:bottom w:val="single" w:sz="18" w:space="0" w:color="auto"/>
              <w:right w:val="single" w:sz="18" w:space="0" w:color="auto"/>
            </w:tcBorders>
          </w:tcPr>
          <w:p w14:paraId="0FF5BD01"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J1</w:t>
            </w:r>
            <w:r w:rsidRPr="00AB56D2">
              <w:rPr>
                <w:rFonts w:eastAsia="標楷體"/>
                <w:sz w:val="23"/>
                <w:szCs w:val="23"/>
              </w:rPr>
              <w:t>了解生涯規劃的意義與功能。</w:t>
            </w:r>
          </w:p>
          <w:p w14:paraId="6160944C"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J2</w:t>
            </w:r>
            <w:r w:rsidRPr="00AB56D2">
              <w:rPr>
                <w:rFonts w:eastAsia="標楷體"/>
                <w:sz w:val="23"/>
                <w:szCs w:val="23"/>
              </w:rPr>
              <w:t>具備生涯規劃的知識與概念。</w:t>
            </w:r>
          </w:p>
        </w:tc>
        <w:tc>
          <w:tcPr>
            <w:tcW w:w="1536" w:type="pct"/>
            <w:tcBorders>
              <w:left w:val="single" w:sz="18" w:space="0" w:color="auto"/>
            </w:tcBorders>
          </w:tcPr>
          <w:p w14:paraId="512605A5"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U1</w:t>
            </w:r>
            <w:r w:rsidRPr="00AB56D2">
              <w:rPr>
                <w:rFonts w:eastAsia="標楷體"/>
                <w:sz w:val="23"/>
                <w:szCs w:val="23"/>
              </w:rPr>
              <w:t>從個人生涯發展過程與脈絡理解生涯規劃的意義與重要性。</w:t>
            </w:r>
          </w:p>
          <w:p w14:paraId="3AB36335"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U2</w:t>
            </w:r>
            <w:r w:rsidRPr="00AB56D2">
              <w:rPr>
                <w:rFonts w:eastAsia="標楷體"/>
                <w:sz w:val="23"/>
                <w:szCs w:val="23"/>
              </w:rPr>
              <w:t>思考生命與存在的價值，建構個人生涯願景。</w:t>
            </w:r>
          </w:p>
        </w:tc>
      </w:tr>
      <w:tr w:rsidR="00724791" w:rsidRPr="00AB56D2" w14:paraId="143CA77E" w14:textId="77777777" w:rsidTr="00E73C6C">
        <w:trPr>
          <w:trHeight w:val="663"/>
        </w:trPr>
        <w:tc>
          <w:tcPr>
            <w:tcW w:w="707" w:type="pct"/>
            <w:vAlign w:val="center"/>
          </w:tcPr>
          <w:p w14:paraId="6B87A633"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生涯教育與</w:t>
            </w:r>
          </w:p>
          <w:p w14:paraId="4DFFDF3F"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自我探索</w:t>
            </w:r>
          </w:p>
        </w:tc>
        <w:tc>
          <w:tcPr>
            <w:tcW w:w="1272" w:type="pct"/>
            <w:tcBorders>
              <w:right w:val="single" w:sz="18" w:space="0" w:color="auto"/>
            </w:tcBorders>
          </w:tcPr>
          <w:p w14:paraId="6C24634D"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E4</w:t>
            </w:r>
            <w:r w:rsidRPr="00AB56D2">
              <w:rPr>
                <w:rFonts w:eastAsia="標楷體"/>
                <w:sz w:val="23"/>
                <w:szCs w:val="23"/>
              </w:rPr>
              <w:t>認識自己的特質與興趣。</w:t>
            </w:r>
          </w:p>
          <w:p w14:paraId="4B0284FF"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E5</w:t>
            </w:r>
            <w:r w:rsidRPr="00AB56D2">
              <w:rPr>
                <w:rFonts w:eastAsia="標楷體"/>
                <w:sz w:val="23"/>
                <w:szCs w:val="23"/>
              </w:rPr>
              <w:t>探索自己的價值觀。</w:t>
            </w:r>
          </w:p>
          <w:p w14:paraId="3AB50693"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E6</w:t>
            </w:r>
            <w:r w:rsidRPr="00AB56D2">
              <w:rPr>
                <w:rFonts w:eastAsia="標楷體"/>
                <w:sz w:val="23"/>
                <w:szCs w:val="23"/>
              </w:rPr>
              <w:t>覺察個人的優勢能力。</w:t>
            </w:r>
          </w:p>
          <w:p w14:paraId="4DCA0A5F"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E7</w:t>
            </w:r>
            <w:r w:rsidRPr="00AB56D2">
              <w:rPr>
                <w:rFonts w:eastAsia="標楷體"/>
                <w:sz w:val="23"/>
                <w:szCs w:val="23"/>
              </w:rPr>
              <w:t>培養良好的人際互動能力。</w:t>
            </w:r>
          </w:p>
        </w:tc>
        <w:tc>
          <w:tcPr>
            <w:tcW w:w="1485" w:type="pct"/>
            <w:tcBorders>
              <w:top w:val="single" w:sz="18" w:space="0" w:color="auto"/>
              <w:left w:val="single" w:sz="18" w:space="0" w:color="auto"/>
              <w:bottom w:val="single" w:sz="18" w:space="0" w:color="auto"/>
              <w:right w:val="single" w:sz="18" w:space="0" w:color="auto"/>
            </w:tcBorders>
          </w:tcPr>
          <w:p w14:paraId="5AFCB79A"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J3</w:t>
            </w:r>
            <w:r w:rsidRPr="00AB56D2">
              <w:rPr>
                <w:rFonts w:eastAsia="標楷體"/>
                <w:sz w:val="23"/>
                <w:szCs w:val="23"/>
              </w:rPr>
              <w:t>覺察自己的能力與興趣。</w:t>
            </w:r>
          </w:p>
          <w:p w14:paraId="2C1C67A9"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J4</w:t>
            </w:r>
            <w:r w:rsidRPr="00AB56D2">
              <w:rPr>
                <w:rFonts w:eastAsia="標楷體"/>
                <w:sz w:val="23"/>
                <w:szCs w:val="23"/>
              </w:rPr>
              <w:t>了解自己的人格特質與價值觀。</w:t>
            </w:r>
          </w:p>
          <w:p w14:paraId="58C19AA1"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J5</w:t>
            </w:r>
            <w:r w:rsidRPr="00AB56D2">
              <w:rPr>
                <w:rFonts w:eastAsia="標楷體"/>
                <w:sz w:val="23"/>
                <w:szCs w:val="23"/>
              </w:rPr>
              <w:t>探索性別與生涯規劃的關係。</w:t>
            </w:r>
          </w:p>
          <w:p w14:paraId="16560355"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J6</w:t>
            </w:r>
            <w:r w:rsidRPr="00AB56D2">
              <w:rPr>
                <w:rFonts w:eastAsia="標楷體"/>
                <w:sz w:val="23"/>
                <w:szCs w:val="23"/>
              </w:rPr>
              <w:t>建立對於未來生涯的願景。</w:t>
            </w:r>
          </w:p>
        </w:tc>
        <w:tc>
          <w:tcPr>
            <w:tcW w:w="1536" w:type="pct"/>
            <w:tcBorders>
              <w:left w:val="single" w:sz="18" w:space="0" w:color="auto"/>
            </w:tcBorders>
          </w:tcPr>
          <w:p w14:paraId="7CCA9C7B"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U3</w:t>
            </w:r>
            <w:r w:rsidRPr="00AB56D2">
              <w:rPr>
                <w:rFonts w:eastAsia="標楷體"/>
                <w:sz w:val="23"/>
                <w:szCs w:val="23"/>
              </w:rPr>
              <w:t>分析與統整個人特質、興趣、性向、價值觀、生涯態度及信念的能力。</w:t>
            </w:r>
          </w:p>
          <w:p w14:paraId="03E21B44" w14:textId="77777777" w:rsidR="00B81B04" w:rsidRPr="00AB56D2" w:rsidRDefault="00B81B04" w:rsidP="00E73C6C">
            <w:pPr>
              <w:snapToGrid w:val="0"/>
              <w:ind w:left="600" w:hanging="600"/>
              <w:jc w:val="both"/>
              <w:rPr>
                <w:rFonts w:eastAsia="標楷體"/>
                <w:sz w:val="23"/>
                <w:szCs w:val="23"/>
              </w:rPr>
            </w:pPr>
            <w:proofErr w:type="gramStart"/>
            <w:r w:rsidRPr="00AB56D2">
              <w:rPr>
                <w:rFonts w:eastAsia="標楷體"/>
                <w:sz w:val="23"/>
                <w:szCs w:val="23"/>
              </w:rPr>
              <w:t>涯</w:t>
            </w:r>
            <w:proofErr w:type="gramEnd"/>
            <w:r w:rsidRPr="00AB56D2">
              <w:rPr>
                <w:rFonts w:eastAsia="標楷體"/>
                <w:sz w:val="23"/>
                <w:szCs w:val="23"/>
              </w:rPr>
              <w:t>U4</w:t>
            </w:r>
            <w:r w:rsidRPr="00AB56D2">
              <w:rPr>
                <w:rFonts w:eastAsia="標楷體"/>
                <w:sz w:val="23"/>
                <w:szCs w:val="23"/>
              </w:rPr>
              <w:t>發展主動建構個人生涯願景的能力。</w:t>
            </w:r>
          </w:p>
        </w:tc>
      </w:tr>
      <w:tr w:rsidR="00724791" w:rsidRPr="00AB56D2" w14:paraId="2A1C4152" w14:textId="77777777" w:rsidTr="00E73C6C">
        <w:trPr>
          <w:trHeight w:val="950"/>
        </w:trPr>
        <w:tc>
          <w:tcPr>
            <w:tcW w:w="707" w:type="pct"/>
            <w:vAlign w:val="center"/>
          </w:tcPr>
          <w:p w14:paraId="75F2518E"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生涯規劃與</w:t>
            </w:r>
          </w:p>
          <w:p w14:paraId="6C2FAB0C" w14:textId="77777777" w:rsidR="00B81B04" w:rsidRPr="00AB56D2" w:rsidRDefault="00B81B04" w:rsidP="00E73C6C">
            <w:pPr>
              <w:pStyle w:val="Default"/>
              <w:jc w:val="center"/>
              <w:rPr>
                <w:rFonts w:ascii="標楷體" w:eastAsia="標楷體" w:hAnsi="標楷體"/>
                <w:color w:val="auto"/>
                <w:sz w:val="23"/>
                <w:szCs w:val="23"/>
              </w:rPr>
            </w:pPr>
            <w:r w:rsidRPr="00AB56D2">
              <w:rPr>
                <w:rFonts w:ascii="標楷體" w:eastAsia="標楷體" w:hAnsi="標楷體"/>
                <w:color w:val="auto"/>
                <w:sz w:val="23"/>
                <w:szCs w:val="23"/>
              </w:rPr>
              <w:t>工作/教育環境探索</w:t>
            </w:r>
          </w:p>
        </w:tc>
        <w:tc>
          <w:tcPr>
            <w:tcW w:w="1272" w:type="pct"/>
            <w:tcBorders>
              <w:right w:val="single" w:sz="18" w:space="0" w:color="auto"/>
            </w:tcBorders>
          </w:tcPr>
          <w:p w14:paraId="7BC1CBF0" w14:textId="77777777"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E8對工作/教育環境的好奇心。</w:t>
            </w:r>
          </w:p>
          <w:p w14:paraId="54B9BBA2" w14:textId="77777777"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E9認識不同類型工作/教育環境。</w:t>
            </w:r>
          </w:p>
          <w:p w14:paraId="74602305" w14:textId="77777777" w:rsidR="00B81B04" w:rsidRPr="00AB56D2" w:rsidRDefault="00B81B04" w:rsidP="00E73C6C">
            <w:pPr>
              <w:snapToGrid w:val="0"/>
              <w:ind w:left="600" w:hanging="600"/>
              <w:jc w:val="both"/>
              <w:rPr>
                <w:rFonts w:ascii="標楷體" w:eastAsia="標楷體" w:hAnsi="標楷體"/>
                <w:sz w:val="23"/>
                <w:szCs w:val="23"/>
              </w:rPr>
            </w:pPr>
            <w:proofErr w:type="gramStart"/>
            <w:r w:rsidRPr="00AB56D2">
              <w:rPr>
                <w:rFonts w:ascii="標楷體" w:eastAsia="標楷體" w:hAnsi="標楷體"/>
                <w:sz w:val="23"/>
                <w:szCs w:val="23"/>
              </w:rPr>
              <w:t>涯</w:t>
            </w:r>
            <w:proofErr w:type="gramEnd"/>
            <w:r w:rsidRPr="00AB56D2">
              <w:rPr>
                <w:rFonts w:ascii="標楷體" w:eastAsia="標楷體" w:hAnsi="標楷體"/>
                <w:sz w:val="23"/>
                <w:szCs w:val="23"/>
              </w:rPr>
              <w:t>E10培養對不同工作/</w:t>
            </w:r>
            <w:r w:rsidRPr="00AB56D2">
              <w:rPr>
                <w:rFonts w:ascii="標楷體" w:eastAsia="標楷體" w:hAnsi="標楷體" w:hint="eastAsia"/>
                <w:sz w:val="23"/>
                <w:szCs w:val="23"/>
              </w:rPr>
              <w:t>教育環境的態度。</w:t>
            </w:r>
          </w:p>
        </w:tc>
        <w:tc>
          <w:tcPr>
            <w:tcW w:w="1485" w:type="pct"/>
            <w:tcBorders>
              <w:top w:val="single" w:sz="18" w:space="0" w:color="auto"/>
              <w:left w:val="single" w:sz="18" w:space="0" w:color="auto"/>
              <w:bottom w:val="single" w:sz="18" w:space="0" w:color="auto"/>
              <w:right w:val="single" w:sz="18" w:space="0" w:color="auto"/>
            </w:tcBorders>
          </w:tcPr>
          <w:p w14:paraId="272C699C" w14:textId="77777777"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J7學習蒐集與分析工作/教育環境的資料。</w:t>
            </w:r>
          </w:p>
          <w:p w14:paraId="6DDC43A3" w14:textId="77777777"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J8工作/教育環境的類型與現況。</w:t>
            </w:r>
          </w:p>
          <w:p w14:paraId="361BA65F" w14:textId="77777777"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J9社會變遷與工作/教育環境的關係。</w:t>
            </w:r>
          </w:p>
          <w:p w14:paraId="5DCA628D" w14:textId="77777777" w:rsidR="00B81B04" w:rsidRPr="00AB56D2" w:rsidRDefault="00B81B04" w:rsidP="00E73C6C">
            <w:pPr>
              <w:pStyle w:val="Default"/>
              <w:ind w:left="575" w:hangingChars="250" w:hanging="575"/>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J10職業倫理對工作</w:t>
            </w:r>
            <w:r w:rsidRPr="00AB56D2">
              <w:rPr>
                <w:rFonts w:ascii="標楷體" w:eastAsia="標楷體" w:hAnsi="標楷體" w:hint="eastAsia"/>
                <w:color w:val="auto"/>
                <w:sz w:val="23"/>
                <w:szCs w:val="23"/>
              </w:rPr>
              <w:t>環境發展的重要性。</w:t>
            </w:r>
          </w:p>
        </w:tc>
        <w:tc>
          <w:tcPr>
            <w:tcW w:w="1536" w:type="pct"/>
            <w:tcBorders>
              <w:left w:val="single" w:sz="18" w:space="0" w:color="auto"/>
            </w:tcBorders>
          </w:tcPr>
          <w:p w14:paraId="3833A579"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U5培養對教育環境變化的覺察與調適能力。</w:t>
            </w:r>
          </w:p>
          <w:p w14:paraId="305FDC2A"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U6能夠運用科技資訊進行工作/教育環</w:t>
            </w:r>
            <w:r w:rsidRPr="00AB56D2">
              <w:rPr>
                <w:rFonts w:ascii="標楷體" w:eastAsia="標楷體" w:hAnsi="標楷體" w:hint="eastAsia"/>
                <w:color w:val="auto"/>
                <w:sz w:val="23"/>
                <w:szCs w:val="23"/>
              </w:rPr>
              <w:t>與生涯進路的探索與分析。</w:t>
            </w:r>
          </w:p>
          <w:p w14:paraId="688DFC7D" w14:textId="77777777" w:rsidR="00B81B04" w:rsidRPr="00AB56D2" w:rsidRDefault="00B81B04" w:rsidP="00AB56D2">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w:t>
            </w:r>
            <w:r w:rsidRPr="00AB56D2">
              <w:rPr>
                <w:rFonts w:ascii="標楷體" w:eastAsia="標楷體" w:hAnsi="標楷體" w:hint="eastAsia"/>
                <w:color w:val="auto"/>
                <w:sz w:val="23"/>
                <w:szCs w:val="23"/>
              </w:rPr>
              <w:t>7</w:t>
            </w:r>
            <w:r w:rsidRPr="00AB56D2">
              <w:rPr>
                <w:rFonts w:ascii="標楷體" w:eastAsia="標楷體" w:hAnsi="標楷體"/>
                <w:color w:val="auto"/>
                <w:sz w:val="23"/>
                <w:szCs w:val="23"/>
              </w:rPr>
              <w:t>理解工作/教育環境的內涵，掌握全球產業發展的</w:t>
            </w:r>
            <w:r w:rsidRPr="00AB56D2">
              <w:rPr>
                <w:rFonts w:ascii="標楷體" w:eastAsia="標楷體" w:hAnsi="標楷體" w:hint="eastAsia"/>
                <w:color w:val="auto"/>
                <w:sz w:val="23"/>
                <w:szCs w:val="23"/>
              </w:rPr>
              <w:t>趨勢。</w:t>
            </w:r>
          </w:p>
        </w:tc>
      </w:tr>
      <w:tr w:rsidR="00724791" w:rsidRPr="00AB56D2" w14:paraId="7414BBF2" w14:textId="77777777" w:rsidTr="00E73C6C">
        <w:trPr>
          <w:trHeight w:val="950"/>
        </w:trPr>
        <w:tc>
          <w:tcPr>
            <w:tcW w:w="707" w:type="pct"/>
            <w:vAlign w:val="center"/>
          </w:tcPr>
          <w:p w14:paraId="1902AE93" w14:textId="77777777" w:rsidR="00B81B04" w:rsidRPr="00AB56D2" w:rsidRDefault="00B81B04" w:rsidP="00E73C6C">
            <w:pPr>
              <w:pStyle w:val="Default"/>
              <w:jc w:val="center"/>
              <w:rPr>
                <w:rFonts w:ascii="標楷體" w:eastAsia="標楷體" w:hAnsi="標楷體"/>
                <w:b/>
                <w:color w:val="auto"/>
                <w:sz w:val="23"/>
                <w:szCs w:val="23"/>
              </w:rPr>
            </w:pPr>
            <w:r w:rsidRPr="00AB56D2">
              <w:rPr>
                <w:rFonts w:ascii="標楷體" w:eastAsia="標楷體" w:hAnsi="標楷體"/>
                <w:b/>
                <w:color w:val="auto"/>
                <w:sz w:val="23"/>
                <w:szCs w:val="23"/>
              </w:rPr>
              <w:t>生涯決定與</w:t>
            </w:r>
          </w:p>
          <w:p w14:paraId="16EFF155" w14:textId="77777777" w:rsidR="00B81B04" w:rsidRPr="00AB56D2" w:rsidRDefault="00B81B04" w:rsidP="00E73C6C">
            <w:pPr>
              <w:pStyle w:val="Default"/>
              <w:jc w:val="center"/>
              <w:rPr>
                <w:rFonts w:ascii="標楷體" w:eastAsia="標楷體" w:hAnsi="標楷體"/>
                <w:b/>
                <w:color w:val="auto"/>
                <w:sz w:val="23"/>
                <w:szCs w:val="23"/>
              </w:rPr>
            </w:pPr>
            <w:r w:rsidRPr="00AB56D2">
              <w:rPr>
                <w:rFonts w:ascii="標楷體" w:eastAsia="標楷體" w:hAnsi="標楷體"/>
                <w:b/>
                <w:color w:val="auto"/>
                <w:sz w:val="23"/>
                <w:szCs w:val="23"/>
              </w:rPr>
              <w:t>行動計畫</w:t>
            </w:r>
          </w:p>
        </w:tc>
        <w:tc>
          <w:tcPr>
            <w:tcW w:w="1272" w:type="pct"/>
            <w:tcBorders>
              <w:right w:val="single" w:sz="18" w:space="0" w:color="auto"/>
            </w:tcBorders>
          </w:tcPr>
          <w:p w14:paraId="0E09F8A3"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E11培養規劃與運用能力</w:t>
            </w:r>
            <w:r w:rsidRPr="00AB56D2">
              <w:rPr>
                <w:rFonts w:ascii="標楷體" w:eastAsia="標楷體" w:hAnsi="標楷體" w:hint="eastAsia"/>
                <w:color w:val="auto"/>
                <w:sz w:val="23"/>
                <w:szCs w:val="23"/>
              </w:rPr>
              <w:t>。</w:t>
            </w:r>
          </w:p>
          <w:p w14:paraId="2F9445E1"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E12學習解決問題與做決定的能力。</w:t>
            </w:r>
          </w:p>
          <w:p w14:paraId="66499936"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E13認識職業倫理及相關法律概念。</w:t>
            </w:r>
          </w:p>
          <w:p w14:paraId="3087899B" w14:textId="77777777" w:rsidR="00B81B04" w:rsidRPr="00AB56D2" w:rsidRDefault="00B81B04" w:rsidP="00E73C6C">
            <w:pPr>
              <w:pStyle w:val="Default"/>
              <w:rPr>
                <w:rFonts w:ascii="標楷體" w:eastAsia="標楷體" w:hAnsi="標楷體"/>
                <w:color w:val="auto"/>
                <w:sz w:val="23"/>
                <w:szCs w:val="23"/>
              </w:rPr>
            </w:pPr>
          </w:p>
        </w:tc>
        <w:tc>
          <w:tcPr>
            <w:tcW w:w="1485" w:type="pct"/>
            <w:tcBorders>
              <w:top w:val="single" w:sz="18" w:space="0" w:color="auto"/>
              <w:left w:val="single" w:sz="18" w:space="0" w:color="auto"/>
              <w:bottom w:val="single" w:sz="18" w:space="0" w:color="auto"/>
              <w:right w:val="single" w:sz="18" w:space="0" w:color="auto"/>
            </w:tcBorders>
          </w:tcPr>
          <w:p w14:paraId="5AB6C2BE"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J11分析影響個人生涯決定的因素。</w:t>
            </w:r>
          </w:p>
          <w:p w14:paraId="3059DF25"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J12發展及評估生涯決定的策略。</w:t>
            </w:r>
          </w:p>
          <w:p w14:paraId="02D26C68"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J13培養生涯規劃及執行的能力。</w:t>
            </w:r>
          </w:p>
          <w:p w14:paraId="5D957CB7" w14:textId="77777777" w:rsidR="00B81B04" w:rsidRPr="00AB56D2" w:rsidRDefault="00B81B04" w:rsidP="00E73C6C">
            <w:pPr>
              <w:pStyle w:val="Default"/>
              <w:ind w:left="711" w:hangingChars="309" w:hanging="711"/>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J14培養</w:t>
            </w:r>
            <w:proofErr w:type="gramStart"/>
            <w:r w:rsidRPr="00AB56D2">
              <w:rPr>
                <w:rFonts w:ascii="標楷體" w:eastAsia="標楷體" w:hAnsi="標楷體"/>
                <w:color w:val="auto"/>
                <w:sz w:val="23"/>
                <w:szCs w:val="23"/>
              </w:rPr>
              <w:t>並涵化</w:t>
            </w:r>
            <w:proofErr w:type="gramEnd"/>
            <w:r w:rsidRPr="00AB56D2">
              <w:rPr>
                <w:rFonts w:ascii="標楷體" w:eastAsia="標楷體" w:hAnsi="標楷體"/>
                <w:color w:val="auto"/>
                <w:sz w:val="23"/>
                <w:szCs w:val="23"/>
              </w:rPr>
              <w:t>道德倫理意義於日常生活。</w:t>
            </w:r>
          </w:p>
        </w:tc>
        <w:tc>
          <w:tcPr>
            <w:tcW w:w="1536" w:type="pct"/>
            <w:tcBorders>
              <w:left w:val="single" w:sz="18" w:space="0" w:color="auto"/>
            </w:tcBorders>
          </w:tcPr>
          <w:p w14:paraId="4ADE5565"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U8具備生涯評估與決定的方法，展現反思與彈性的能力。</w:t>
            </w:r>
          </w:p>
          <w:p w14:paraId="4E7ED729"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U9確認生涯目標，擬訂生涯行動方案，並在實踐中反思與修正。</w:t>
            </w:r>
          </w:p>
          <w:p w14:paraId="73112711" w14:textId="77777777" w:rsidR="00B81B04" w:rsidRPr="00AB56D2" w:rsidRDefault="00B81B04" w:rsidP="00E73C6C">
            <w:pPr>
              <w:pStyle w:val="Default"/>
              <w:ind w:left="458" w:hangingChars="199" w:hanging="458"/>
              <w:rPr>
                <w:rFonts w:ascii="標楷體" w:eastAsia="標楷體" w:hAnsi="標楷體"/>
                <w:color w:val="auto"/>
                <w:sz w:val="23"/>
                <w:szCs w:val="23"/>
              </w:rPr>
            </w:pPr>
            <w:proofErr w:type="gramStart"/>
            <w:r w:rsidRPr="00AB56D2">
              <w:rPr>
                <w:rFonts w:ascii="標楷體" w:eastAsia="標楷體" w:hAnsi="標楷體"/>
                <w:color w:val="auto"/>
                <w:sz w:val="23"/>
                <w:szCs w:val="23"/>
              </w:rPr>
              <w:t>涯</w:t>
            </w:r>
            <w:proofErr w:type="gramEnd"/>
            <w:r w:rsidRPr="00AB56D2">
              <w:rPr>
                <w:rFonts w:ascii="標楷體" w:eastAsia="標楷體" w:hAnsi="標楷體"/>
                <w:color w:val="auto"/>
                <w:sz w:val="23"/>
                <w:szCs w:val="23"/>
              </w:rPr>
              <w:t>U10理解職業倫理對個人職場發展的重要性。</w:t>
            </w:r>
          </w:p>
        </w:tc>
      </w:tr>
    </w:tbl>
    <w:p w14:paraId="5A7B2E05" w14:textId="77777777" w:rsidR="00B81B04" w:rsidRPr="00724791" w:rsidRDefault="00B81B04" w:rsidP="00B81B04">
      <w:pPr>
        <w:snapToGrid w:val="0"/>
        <w:spacing w:line="440" w:lineRule="exact"/>
        <w:rPr>
          <w:rFonts w:eastAsia="標楷體"/>
          <w:sz w:val="28"/>
          <w:szCs w:val="28"/>
        </w:rPr>
      </w:pPr>
    </w:p>
    <w:p w14:paraId="42A16071" w14:textId="77777777" w:rsidR="006B7AD4" w:rsidRPr="00724791" w:rsidRDefault="006B7AD4">
      <w:pPr>
        <w:widowControl/>
        <w:suppressAutoHyphens w:val="0"/>
      </w:pPr>
    </w:p>
    <w:sectPr w:rsidR="006B7AD4" w:rsidRPr="00724791" w:rsidSect="00AB56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DA093" w14:textId="77777777" w:rsidR="00CF2107" w:rsidRDefault="00CF2107" w:rsidP="00B81B04">
      <w:r>
        <w:separator/>
      </w:r>
    </w:p>
  </w:endnote>
  <w:endnote w:type="continuationSeparator" w:id="0">
    <w:p w14:paraId="703BAC30" w14:textId="77777777" w:rsidR="00CF2107" w:rsidRDefault="00CF2107" w:rsidP="00B8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 Ming Li U">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DCC7" w14:textId="77777777" w:rsidR="00CF2107" w:rsidRDefault="00CF2107" w:rsidP="00B81B04">
      <w:r>
        <w:separator/>
      </w:r>
    </w:p>
  </w:footnote>
  <w:footnote w:type="continuationSeparator" w:id="0">
    <w:p w14:paraId="004338CA" w14:textId="77777777" w:rsidR="00CF2107" w:rsidRDefault="00CF2107" w:rsidP="00B81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EA6"/>
    <w:rsid w:val="00024879"/>
    <w:rsid w:val="003151C1"/>
    <w:rsid w:val="003F2221"/>
    <w:rsid w:val="00537B34"/>
    <w:rsid w:val="006276F4"/>
    <w:rsid w:val="00641E4C"/>
    <w:rsid w:val="006B7AD4"/>
    <w:rsid w:val="00724791"/>
    <w:rsid w:val="007B3E69"/>
    <w:rsid w:val="00862CAD"/>
    <w:rsid w:val="008B4EA6"/>
    <w:rsid w:val="00961620"/>
    <w:rsid w:val="00AB56D2"/>
    <w:rsid w:val="00B220AF"/>
    <w:rsid w:val="00B81B04"/>
    <w:rsid w:val="00CF2107"/>
    <w:rsid w:val="00F90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EE00"/>
  <w15:chartTrackingRefBased/>
  <w15:docId w15:val="{06850022-0E9B-4737-8950-23D2CD4E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04"/>
    <w:pPr>
      <w:widowControl w:val="0"/>
      <w:suppressAutoHyphens/>
    </w:pPr>
    <w:rPr>
      <w:rFonts w:ascii="Times New Roman" w:eastAsia="新細明體" w:hAnsi="Times New Roman" w:cs="Times New Roman"/>
      <w:kern w:val="1"/>
      <w:szCs w:val="24"/>
    </w:rPr>
  </w:style>
  <w:style w:type="paragraph" w:styleId="1">
    <w:name w:val="heading 1"/>
    <w:basedOn w:val="a"/>
    <w:link w:val="10"/>
    <w:qFormat/>
    <w:rsid w:val="00B81B04"/>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B04"/>
    <w:pPr>
      <w:tabs>
        <w:tab w:val="center" w:pos="4153"/>
        <w:tab w:val="right" w:pos="8306"/>
      </w:tabs>
      <w:suppressAutoHyphens w:val="0"/>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B81B04"/>
    <w:rPr>
      <w:sz w:val="20"/>
      <w:szCs w:val="20"/>
    </w:rPr>
  </w:style>
  <w:style w:type="paragraph" w:styleId="a5">
    <w:name w:val="footer"/>
    <w:basedOn w:val="a"/>
    <w:link w:val="a6"/>
    <w:uiPriority w:val="99"/>
    <w:unhideWhenUsed/>
    <w:rsid w:val="00B81B04"/>
    <w:pPr>
      <w:tabs>
        <w:tab w:val="center" w:pos="4153"/>
        <w:tab w:val="right" w:pos="8306"/>
      </w:tabs>
      <w:suppressAutoHyphens w:val="0"/>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B81B04"/>
    <w:rPr>
      <w:sz w:val="20"/>
      <w:szCs w:val="20"/>
    </w:rPr>
  </w:style>
  <w:style w:type="character" w:customStyle="1" w:styleId="10">
    <w:name w:val="標題 1 字元"/>
    <w:basedOn w:val="a0"/>
    <w:link w:val="1"/>
    <w:rsid w:val="00B81B04"/>
    <w:rPr>
      <w:rFonts w:ascii="Cambria" w:eastAsia="新細明體" w:hAnsi="Cambria" w:cs="Times New Roman"/>
      <w:b/>
      <w:bCs/>
      <w:kern w:val="1"/>
      <w:sz w:val="52"/>
      <w:szCs w:val="52"/>
    </w:rPr>
  </w:style>
  <w:style w:type="paragraph" w:styleId="a7">
    <w:name w:val="Body Text"/>
    <w:basedOn w:val="a"/>
    <w:link w:val="a8"/>
    <w:rsid w:val="00B81B04"/>
    <w:pPr>
      <w:spacing w:after="120"/>
    </w:pPr>
  </w:style>
  <w:style w:type="character" w:customStyle="1" w:styleId="a8">
    <w:name w:val="本文 字元"/>
    <w:basedOn w:val="a0"/>
    <w:link w:val="a7"/>
    <w:rsid w:val="00B81B04"/>
    <w:rPr>
      <w:rFonts w:ascii="Times New Roman" w:eastAsia="新細明體" w:hAnsi="Times New Roman" w:cs="Times New Roman"/>
      <w:kern w:val="1"/>
      <w:szCs w:val="24"/>
    </w:rPr>
  </w:style>
  <w:style w:type="paragraph" w:customStyle="1" w:styleId="Default">
    <w:name w:val="Default"/>
    <w:rsid w:val="00B81B04"/>
    <w:pPr>
      <w:widowControl w:val="0"/>
      <w:suppressAutoHyphens/>
    </w:pPr>
    <w:rPr>
      <w:rFonts w:ascii="P Ming Li U" w:eastAsia="P Ming Li U" w:hAnsi="P Ming Li U" w:cs="P Ming Li U"/>
      <w:color w:val="000000"/>
      <w:kern w:val="1"/>
      <w:szCs w:val="24"/>
    </w:rPr>
  </w:style>
  <w:style w:type="paragraph" w:customStyle="1" w:styleId="a9">
    <w:name w:val="樣式 指標"/>
    <w:basedOn w:val="a"/>
    <w:rsid w:val="00B81B04"/>
    <w:pPr>
      <w:ind w:left="1320" w:hanging="600"/>
    </w:pPr>
    <w:rPr>
      <w:rFonts w:eastAsia="標楷體" w:cs="新細明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2025-08-22T03:23:00Z</dcterms:created>
  <dcterms:modified xsi:type="dcterms:W3CDTF">2025-08-22T03:23:00Z</dcterms:modified>
</cp:coreProperties>
</file>